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ОДОБРЕНЫ</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президиумом Совета</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Президенте Российской Федерации</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противодействию коррупции</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 24 от 13 апреля 2011 г.)</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МЕТОДИЧЕСКИЕ РЕКОМЕНДАЦИИ</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организации работы комиссий по соблюдению требований к служебному поведению федеральных</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государственных служащих и урегулированию</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конфликта интересов (аттестационных комиссий)</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федеральных государственных органах</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Настоящие Методические рекомендации подготовлены в целях обеспечения единообразного применения Указа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Правовая основа работы комиссий</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Правовую основу работы комиссий составляют:</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Конвенция ООН против коррупции (ратифицирована Федеральным законом от 8 марта 2006 г. № 40-ФЗ);</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 декабря 2008 г. № 273-ФЗ «О противодействии коррупции»;</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 июля 2004 г. № 79-ФЗ «О государственной гражданской службе Российской Федерации»;</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18 мая 2009 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 821).</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Полномочия комиссий</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ffffff" w:val="clear"/>
        <w:tabs>
          <w:tab w:val="left" w:pos="137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ffffff" w:val="clear"/>
        <w:tabs>
          <w:tab w:val="left" w:pos="137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В соответствии с пунктом 2 Указа № 821 и пунктом 4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ffffff" w:val="clear"/>
        <w:tabs>
          <w:tab w:val="left" w:pos="128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Комиссия, образованная в федеральной службе (федеральном агентстве), подведомственной (подведомственном) федеральному министерству, рассматривает вопросы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Указом Президента Российской Федерации от 25 февраля 2011 г. № 233.</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ffffff" w:val="clear"/>
        <w:tabs>
          <w:tab w:val="left" w:pos="1339"/>
        </w:tabs>
        <w:spacing w:after="0" w:before="0" w:line="240" w:lineRule="auto"/>
        <w:ind w:left="0" w:right="0" w:firstLine="709"/>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ffffff" w:val="clear"/>
        <w:tabs>
          <w:tab w:val="left" w:pos="1339"/>
        </w:tabs>
        <w:spacing w:after="0" w:before="0" w:line="240" w:lineRule="auto"/>
        <w:ind w:left="0" w:right="0" w:firstLine="709"/>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ffffff" w:val="clear"/>
        <w:tabs>
          <w:tab w:val="left" w:pos="16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Основной задачей комиссий является содействие государственным органам:</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осуществлении в государственном органе мер по предупреждению коррупции.</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ffffff" w:val="clear"/>
        <w:tabs>
          <w:tab w:val="left" w:pos="141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Основные ограничения и запреты для государственных</w:t>
        <w:br w:type="textWrapping"/>
        <w:t xml:space="preserve">служащих, обязанности государственных служащих установлены:</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 противодействии коррупции»;</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 государственной гражданской службе Российской Федерации»;</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17 января 1992 г. № 2202-1 «О прокуратуре Российской Федерации»;</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службе в органах внутренних дел Российской Федерации;</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3 апреля 1995 г. № 40-ФЗ «О федеральной службе безопасности»;</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21 июля 1997 г. № 114-ФЗ «О службе в таможенных органах Российской Федерации»;</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21 июля 1997 г. № 118-ФЗ «О судебных приставах»;</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27 мая 1998 г. № 76-ФЗ «О статусе военнослужащих»;</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28 декабря 2010 г. № 403-ФЗ «О Следственном комитете Российской Федерации»;</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 законом от 7 февраля 2011 г. № 3-ФЗ «О полиции»;</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Указом Президента Российской Федерации от 5 июня 2003 г. № 613 «О правоохранительной службе в органах по контролю за оборотом наркотических средств и психотропных веществ».</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ffffff" w:val="clear"/>
        <w:tabs>
          <w:tab w:val="left" w:pos="133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(пункт 11 части 1 статьи 15).</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Указом Президента Российской Федерации от 12 августа 2002 г. №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примеру, требования к служебному поведению государственных гражданских служащих определены в статье 18 Федерального закона «О государственной гражданской службе Российской Федерации».</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ffffff" w:val="clear"/>
        <w:tabs>
          <w:tab w:val="left" w:pos="152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Например, Федеральный закон от 2 мая 2006 г. №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ffffff" w:val="clear"/>
        <w:tabs>
          <w:tab w:val="left" w:pos="127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Требования о предотвращении и урегулировании конфликта интересов на государственной службе установлены Федеральным законом «О противодействии коррупции», Федеральным законом «О государственной гражданской службе Российской Федерации», другими законодательными актами.</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со статьей 11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(статьи 6-7) и Национальной стратегии противодействия коррупции (раздел IV).</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Указом Президента Российской Федерации от 13 апреля 2010 г. № 460.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Указа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Порядок образования комиссий</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ffffff" w:val="clear"/>
        <w:tabs>
          <w:tab w:val="left" w:pos="126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ffffff" w:val="clear"/>
        <w:tabs>
          <w:tab w:val="left" w:pos="126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В соответствии с пунктом 7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ffffff" w:val="clear"/>
        <w:tabs>
          <w:tab w:val="left" w:pos="141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пунктов 8 и 9 Положения о комиссиях.</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учетом позиции, изложенной в постановлении Президиума Верховного Суда Российской Федерации от 21 июля 2010 г. № 11ПВ10, при утверждении персонального состава комиссии указываются персональные данные всех членов комиссии.</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ffffff" w:val="clear"/>
        <w:tabs>
          <w:tab w:val="left" w:pos="130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Согласно пункту 6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ffffff" w:val="clear"/>
        <w:tabs>
          <w:tab w:val="left" w:pos="130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Положением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Формирование состава комиссии</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ffffff" w:val="clear"/>
        <w:tabs>
          <w:tab w:val="left" w:pos="137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ffffff" w:val="clear"/>
        <w:tabs>
          <w:tab w:val="left" w:pos="137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Положением о комиссиях предусмотрены обязательная и факультативная части состава комиссии.</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ffffff" w:val="clear"/>
        <w:tabs>
          <w:tab w:val="left" w:pos="125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Лица, включаемые в состав комиссии в обязательном порядке, указаны в пункте 8 Положения о комиссиях.</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В соответствии с подпунктом «а» пункта 8 Положения о комиссиях председателем комиссии является заместитель руководителя государственного органа.</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ffffff" w:val="clear"/>
        <w:tabs>
          <w:tab w:val="left" w:pos="185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В качестве заместителя председателя комиссии целесообразно определить:</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кадровая служба является самостоятельным структурным подразделением государственного органа - руководителя кадровой службы.</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ffffff" w:val="clear"/>
        <w:tabs>
          <w:tab w:val="left" w:pos="155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Согласно подпункту «а» пункта 8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ffffff" w:val="clear"/>
        <w:tabs>
          <w:tab w:val="left" w:pos="2803"/>
          <w:tab w:val="left" w:pos="5314"/>
          <w:tab w:val="left" w:pos="832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пунктах 3 и 4 Указа Президента Российской Федерации от 21 сентября 2009 г. № 1065.</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ffffff" w:val="clear"/>
        <w:tabs>
          <w:tab w:val="left" w:pos="163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В подпункте «а» пункта 8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ffffff" w:val="clear"/>
        <w:tabs>
          <w:tab w:val="left" w:pos="163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 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 1181/888 (в редакции совместного распоряжения от 31 марта 2011 г. № 422/305) 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абзаце настоящего пункта).</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ffffff" w:val="clear"/>
        <w:tabs>
          <w:tab w:val="left" w:pos="171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4.2.6. 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ffffff" w:val="clear"/>
        <w:tabs>
          <w:tab w:val="left" w:pos="147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 Указ № 821 и Положение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ffffff" w:val="clear"/>
        <w:tabs>
          <w:tab w:val="left" w:pos="152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Пунктом 9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частью 2 статьи 20 Федерального закона от 4 апреля 2005 г. № 32-ФЗ «Об Общественной палате Российской Федерации»; представителя общественной организации ветеранов, созданной в государственном органе; представителя профсоюзной организации, действующей в установленном порядке в государственном органе.</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ffffff" w:val="clear"/>
        <w:tabs>
          <w:tab w:val="left" w:pos="132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пункте 10 Положения о комиссиях.</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соответствующей работы следует учитывать, что лицо согласовывается только с той организацией, которую оно представляет.</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4.4.1. 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 1181/888 (в редакции совместного распоряжения от 31 марта 2011 г. № 422/305).</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Согласно пункту 11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Например, число членов комиссии, не замещающих должности государственной службы в государственном органе, должно составлять:</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2 человек - при общем числе членов комиссии до 8 человек включительно;</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3 человек - при общем числе членов комиссии от 9 до 12 человек включительно;</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4 человек - при общем числе членов комиссии от 13 до 16 человек включительно.</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Основания для проведения заседания комиссии</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ffffff" w:val="clear"/>
        <w:tabs>
          <w:tab w:val="left" w:pos="1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Основания для проведения заседания комиссии определены в пункте 16 Положения о комиссиях.</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ffffff" w:val="clear"/>
        <w:tabs>
          <w:tab w:val="left" w:pos="1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Согласно подпункту «а» пункта 16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(далее - Положение о проверке достоверности сведений), материалов проверки, свидетельствующих:</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представлении государственным служащим недостоверных или неполных сведений, предусмотренных подпунктом «а» пункта 1 Положения о проверке достоверности сведений (а именно, представляемых в соответствии с Указом Президента Российской Федерации от 18 мая 2009 г. №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несоблюдении государственным служащим требований к служебному поведению и (или) требований об урегулировании конфликта интересов.</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Указа Президента Российской Федерации от 21 сентября 2009 г. № 1065, и включать в себя:</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Одним из оснований для проведения заседания комиссии в соответствии с абзацем вторым подпункта «б» пункта 16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правовом акте целесообразно закрепить процедуру прохождения обращения лица о даче согласия, например:</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постановлением Правительства Российской Федерации от 8 сентября 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Рассмотрению по существу в порядке, установленном Положением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 принятия соответствующего решения комиссией данного органа, все решения направляются в установленном порядке заявителю.</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ffffff" w:val="clear"/>
        <w:tabs>
          <w:tab w:val="left" w:pos="473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 Наличие согласия соответствующей комиссии согласно статьям 64 и 84 Трудового кодекса Российской Федерации, пункту 1 части 3 статьи 17 Федерального закона «О государственной гражданской службе Российской Федерации», части 1 статьи 12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подпунктом «з» пункта 3 Указа Президента Российской Федерации от 21 сентября 2009 г. №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Применительно к настоящим Методическим рекомендациям к такой управленческой деятельности можно отнести:</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мер государственного регулирования в соответствующей сфере, в том числе в отношении заинтересованной организации;</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государственных услуг, получателем которых была заинтересованная организация;</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государственного контроля и надзора в соответствующей сфере, в том числе в отношении заинтересованной организации;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подпунктом «в» пункта 16 Положения о комиссиях.</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последующем указанные материалы могут быть основанием для применения в установленном порядке мер, предусмотренных частью 3 статьи 12 Федерального закона «О противодействии коррупции» и статьей 84 Трудового кодекса Российской Федерации, а также статьей 19.29 Кодекса Российской Федерации об административных правонарушениях. При этом следует учитывать, что в соответствии со статьями 23.1 и 28.4 Кодекса Российской Федерации об административных правонарушениях дела об административных правонарушениях, предусмотренных статьей 19.29 Кодекса, возбуждаются прокурором, рассматриваются судьей.</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ffffff" w:val="clear"/>
        <w:tabs>
          <w:tab w:val="left" w:pos="129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Одним из оснований для проведения заседания комиссии в соответствии с абзацем третьим подпункта «б» пункта 16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Рекомендации по порядку рассмотрения в государственном органе такого заявления аналогичны рекомендациям, содержащимся в абзацах третьем - пятом пункта 5.3.1 настоящих Методических рекомендаций.</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ffffff" w:val="clear"/>
        <w:tabs>
          <w:tab w:val="left" w:pos="129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В случае, если обращение лица о даче согласия либо заявление, указанное в пункте 5.4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ffffff" w:val="clear"/>
        <w:tabs>
          <w:tab w:val="left" w:pos="129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Одним из оснований для проведения заседания комиссии в соответствии с подпунктом «в» пункта 16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законом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частью 2 статьи 14 Федерального закона «О государственной гражданской службе Российской Федерации».</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ffffff" w:val="clear"/>
        <w:tabs>
          <w:tab w:val="left" w:pos="1517"/>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5.6.1 Рекомендации по порядку рассмотрения в государственном органе указанного представления аналогичны рекомендациям, содержащимся в абзацах третьем - пятом пункта 5.3.1 настоящих Методических рекомендаций.</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ffffff" w:val="clear"/>
        <w:tabs>
          <w:tab w:val="left" w:pos="1517"/>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5.6.2 В случае, если названное представление касается вопросов, подлежащих проверке в соответствии с Указом Президента Российской Федерации от 21 сентября 2009 г. №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пунктом 4 Положения о проверки достоверности сведений.</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ffffff" w:val="clear"/>
        <w:tabs>
          <w:tab w:val="left" w:pos="159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5.6.3. На основании подпункта «в» пункта 16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подпунктом «в» пункта 16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Согласно пункту 17 Положения о комиссиях комиссия не проводит проверки по фактам нарушения служебной дисциплины.</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К примеру, согласно части 1 статьи 56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пункта 16 Положения о комиссиях.</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ffffff" w:val="clear"/>
        <w:tabs>
          <w:tab w:val="left" w:pos="2894"/>
          <w:tab w:val="left" w:pos="5131"/>
          <w:tab w:val="left" w:pos="746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Положением о комиссиях.</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Порядок подготовки заседания комиссии</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Пунктом 38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Такие функции должны быть отражены в должностном регламенте соответствующего государственного служащего.</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ffffff" w:val="clear"/>
        <w:tabs>
          <w:tab w:val="left" w:pos="135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 соответствии с абзацем первым пункта 18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надлежащего исполнения требований Положения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ffffff" w:val="clear"/>
        <w:tabs>
          <w:tab w:val="left" w:pos="1248"/>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Председатель комиссии:</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назначает дату заседания комиссии (подпункт «а» пункта 18 Положения о комиссиях);</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(подпункт «а» пункта 13 Положения о комиссиях);</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рассматривает ходатайства о приглашении на заседание комиссии лиц, указанных в подпункте «б» пункта 13 Положения о комиссиях, принимает решение об удовлетворении (об отказе в удовлетворении) указанных ходатайств (подпункт «в» пункта 18 Положения о комиссиях);</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(подпункт «б» пункта 18 Положения о комиссиях);</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решение о рассмотрении (об отказе в рассмотрении) в ходе заседания комиссии дополнительных материалов (подпункт «в» пункта 18 Положения о комиссиях).</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ffffff" w:val="clear"/>
        <w:tabs>
          <w:tab w:val="left" w:pos="153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 В соответствии с подпунктом «а» пункта 18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ffffff" w:val="clear"/>
        <w:tabs>
          <w:tab w:val="left" w:pos="178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ffffff" w:val="clear"/>
        <w:tabs>
          <w:tab w:val="left" w:pos="149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ffffff" w:val="clear"/>
        <w:tabs>
          <w:tab w:val="left" w:pos="184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000000" w:rsidDel="00000000" w:rsidP="00000000" w:rsidRDefault="00000000" w:rsidRPr="00000000" w14:paraId="000000BB">
      <w:pPr>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pos="1694"/>
        </w:tabs>
        <w:spacing w:after="0" w:before="0" w:line="240" w:lineRule="auto"/>
        <w:ind w:left="0" w:right="0" w:firstLine="709"/>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ffffff" w:val="clear"/>
        <w:tabs>
          <w:tab w:val="left" w:pos="1694"/>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6.4.6 В качестве организации, чей представитель может принимать участие в заседании комиссии, целесообразно определять:</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ffffff" w:val="clear"/>
        <w:tabs>
          <w:tab w:val="left" w:pos="160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Решение о приглашении на заседание комиссии лиц, указанных в подпункте «б» пункта 13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исчислении данного срока целесообразно придерживаться рекомендаций, содержащихся в пункте 6.4.1 настоящих Методических рекомендаций.</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пункте 6.2 настоящих Методических рекомендаций.</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ffffff" w:val="clear"/>
        <w:tabs>
          <w:tab w:val="left" w:pos="129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С учетом требований пунктов 18 и 38 Положения о комиссиях</w:t>
        <w:br w:type="textWrapping"/>
        <w:t xml:space="preserve">секретарь комиссии:</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подпункте «б» пункта 13 Положения о комиссиях, и докладывает указанные материалы председателю комиссии;</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готовит предложения о дате, времени и месте проведения заседания комиссии;</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готовит предложения о приглашении на заседание комиссии лиц, указанных в подпункте «а» пункта 13 Положения о комиссиях;</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ffffff" w:val="clear"/>
        <w:tabs>
          <w:tab w:val="left" w:pos="129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ffffff" w:val="clear"/>
        <w:tabs>
          <w:tab w:val="left" w:pos="13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законом «О порядке рассмотрения обращений граждан Российской Федерации».</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дата заседания комиссии назначается в соответствии с общим правилом, установленным в подпункте «а» пункта 18 Положения о комиссиях.</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с учетом установленного частью 1 статьи 12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ffffff" w:val="clear"/>
        <w:tabs>
          <w:tab w:val="left" w:pos="148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 В пункте 19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 комиссия может принять решение о рассмотрении указанного вопроса в отсутствие государственного служащего.</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Проведение заседания комиссии</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ffffff" w:val="clear"/>
        <w:tabs>
          <w:tab w:val="left" w:pos="141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Лица, указанные в пункте 13 Положения о комиссиях, участвуют в заседании комиссии с правом совещательного голоса.</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данные лица могут:</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выступать на заседании комиссии и вносить предложения по вопросам, рассматриваемым на заседании комиссии;</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задавать другим участникам заседания комиссии вопросы в соответствии с повесткой дня и получать на них ответы по существу;</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знакомиться с материалами, рассматриваемыми на заседании комиссии.</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 же время указанные лица не вправе участвовать в голосовании при принятии решения комиссией.</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ffffff" w:val="clear"/>
        <w:tabs>
          <w:tab w:val="left" w:pos="157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Согласно пункту 14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Например, число членов комиссии, присутствующих на ее заседании, должно составлять:</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4 человек - при общем числе членов комиссии до 6 человек включительно;</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6 человек - при общем числе членов комиссии от 7 до 9 человек включительно;</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8 человек - при общем числе членов комиссии от 10 до 12 человек включительно;</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10 человек - при общем числе членов комиссии от 13 до 15 человек включительно;</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12 человек - при общем числе членов комиссии от 16 до 18 человек включительно.</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ffffff" w:val="clear"/>
        <w:tabs>
          <w:tab w:val="left" w:pos="154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Согласно пункту 15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ffffff" w:val="clear"/>
        <w:tabs>
          <w:tab w:val="left" w:pos="129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Согласно пункту 21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ffffff" w:val="clear"/>
        <w:tabs>
          <w:tab w:val="left" w:pos="141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ffffff" w:val="clear"/>
        <w:tabs>
          <w:tab w:val="left" w:pos="1411"/>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 Решения комиссий</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Виды решений, принимаемых комиссиями, определены в пунктах 22-25 Положения о комиссиях.</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признаются недостоверными и (или) неполными независимо от вины государственного служащего.</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ffffff" w:val="clear"/>
        <w:tabs>
          <w:tab w:val="left" w:pos="16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подпунктом «а» пункта 22 Положения о комиссиях, и требует всестороннего рассмотрения на заседании комиссии.</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ffffff" w:val="clear"/>
        <w:tabs>
          <w:tab w:val="left" w:pos="148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 В соответствии с частью 8 статьи 8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таких мер ответственности к государственному гражданскому служащему следует руководствоваться пунктами 13 и 14 части 1 статьи 33, пунктом 9 части 1, частью 3 статьи 37 Федерального закона «О государственной гражданской службе Российской Федерации».</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ffffff" w:val="clear"/>
        <w:tabs>
          <w:tab w:val="left" w:pos="128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Согласно подпункту «б» пункта 23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ffffff" w:val="clear"/>
        <w:tabs>
          <w:tab w:val="left" w:pos="203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 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 вреда незначительным).</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ffffff" w:val="clear"/>
        <w:tabs>
          <w:tab w:val="left" w:pos="153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замечание;</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выговор;</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предупреждение о неполном должностном соответствии;</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освобождение от замещаемой должности государственной гражданской службы;</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увольнение с государственной гражданской службы.</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ffffff" w:val="clear"/>
        <w:tabs>
          <w:tab w:val="left" w:pos="1282"/>
          <w:tab w:val="left" w:pos="1853"/>
          <w:tab w:val="left" w:pos="268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ffffff" w:val="clear"/>
        <w:tabs>
          <w:tab w:val="left" w:pos="148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При принятии комиссией решения в соответствии с подпунктом «б» пункта 25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ffffff" w:val="clear"/>
        <w:tabs>
          <w:tab w:val="left" w:pos="135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Согласно пункту 26 Положения о комиссиях по итогам рассмотрения вопросов, предусмотренных подпунктами «а» и «б» пункта 16 Положения о комиссиях, при наличии к тому оснований комиссия может принять иное, чем предусмотрено пунктами 22 – 25 Положения о комиссиях, решение. Основания и мотивы принятия такого решения должны быть отражены в протоколе заседания комиссии.</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такого решения по итогам рассмотрения вопроса, указанного в абзаце третьем подпункта «а» пункта 16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ffffff" w:val="clear"/>
        <w:tabs>
          <w:tab w:val="left" w:pos="135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Согласно пункту 27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ffffff" w:val="clear"/>
        <w:tabs>
          <w:tab w:val="left" w:pos="3034"/>
          <w:tab w:val="left" w:pos="4771"/>
          <w:tab w:val="left" w:pos="748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 Согласно пункту 29 Положения о комиссиях решения комиссии по вопросам, указанным в пункте 16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ffffff" w:val="clear"/>
        <w:tabs>
          <w:tab w:val="left" w:pos="154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ffffff" w:val="clear"/>
        <w:tabs>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8.10. Требования к содержанию протокола заседания комиссии и его оформлению содержатся в пунктах 30-32 Положения о комиссиях.</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протокола заседания комиссии также следует руководствоваться положениями, содержащимися в Методических рекомендациях по разработке инструкций по делопроизводству в федеральных органах исполнительной власти, утвержденных приказом Росархива от 23 декабря 2009 г. № 76 (в частности, раздел 3.3.5.4 и приложение № 16).</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ffffff" w:val="clear"/>
        <w:tabs>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ffffff" w:val="clear"/>
        <w:tabs>
          <w:tab w:val="left" w:pos="2294"/>
          <w:tab w:val="left" w:pos="5462"/>
          <w:tab w:val="left" w:pos="659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ffffff" w:val="clear"/>
        <w:tabs>
          <w:tab w:val="left" w:pos="155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В соответствии с пунктом 37 Положения о комиссиях в личное дело государственного служащего приобщается копия протокола заседания комиссии или выписка из него.</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 При определении срока хранения материалов, связанных с работой комиссии, следует руководствоваться статьями 678 и 680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 Исполнение решений комиссий</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ffffff" w:val="clear"/>
        <w:tabs>
          <w:tab w:val="left" w:pos="153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Решение комиссии и обоснование его принятия в обязательном порядке включаются в протокол заседания комиссии (подпункт «и» пункта 31 Положения о комиссиях).</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ffffff" w:val="clear"/>
        <w:tabs>
          <w:tab w:val="left" w:pos="126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Согласно пункту 33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исчислении данного срока целесообразно придерживаться рекомендаций, содержащихся в пункте 6.4.1 настоящих Методических рекомендаций.</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Копию протокола целесообразно направлять с сопроводительным письмом, подписанным председателем комиссии.</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ffffff" w:val="clear"/>
        <w:tabs>
          <w:tab w:val="left" w:pos="126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В соответствии с пунктом 30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 соответствии с пунктом 34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ffffff" w:val="clear"/>
        <w:tabs>
          <w:tab w:val="left" w:pos="139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Согласно пункту 35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реализации данных полномочий руководителем государственного органа следует учитывать, что в соответствии со статьями 57-59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Решение комиссии, принимаемое по итогам рассмотрения обращения лица о даче согласия, носит обязательный характер (пункт 30 Положения о комиссиях).</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Данное решение не требует принятия каких-либо дополнительных мер со стороны руководителя государственного органа.</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 Информирование о работе комиссии</w:t>
      </w: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ffffff" w:val="clear"/>
        <w:tabs>
          <w:tab w:val="left" w:pos="175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публикацию в средствах массовой информации сообщений об образовании комиссии и порядке ее работы;</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на Интернет-сайте государственного органа информации об образовании комиссии и порядке ее работы;</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в государственном органе телефонной «горячей линии»;</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на информационных стендах в помещениях государственного органа сведений о работе комиссии;</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с государственными служащими государственного органа информационно-обучающих мероприятий;</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информирования граждан и организаций о результатах работы комиссии.</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ffffff" w:val="clear"/>
        <w:tabs>
          <w:tab w:val="left" w:pos="14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статьей 14 Федерального закона «Об обеспечении доступа к информации о деятельности органов государственной власти и органов местного самоуправления».</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 соответствии с пунктом 46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 953), порядок работы комиссии, включая порядок подачи заявления для рассмотрения на комиссии, должен быть размещен на Интернет-сайте федерального органа исполнительной власти в течение 5 рабочих дней со дня утверждения порядка.</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ffffff" w:val="clear"/>
        <w:tabs>
          <w:tab w:val="left" w:pos="236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сообщение об образовании комиссии;</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тексты нормативных правовых актов в соответствующей сфере (Федеральный закон «О противодействии коррупции», Федеральный закон «О государственной гражданской службе Российской Федерации», Указ № 821, 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 Указ Президента Российской Федерации от 12 августа 2002 г. № 885 «Об утверждении общих принципов служебного поведения государственных служащих»);</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 нормативного правового акта об образовании комиссии в государственном органе;</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комиссии (в актуальной редакции);</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о комиссии (в актуальной редакции);</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и адрес электронной почты, по которым принимается информация;</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ffffff" w:val="clear"/>
        <w:tabs>
          <w:tab w:val="left" w:pos="162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Информация об «Интернет-приемной»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ffffff" w:val="clear"/>
        <w:tabs>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состава сведений, размещаемых на информационном стенде, целесообразно руководствоваться пунктом 10.3 настоящих Методических рекомендаций.</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ffffff" w:val="clear"/>
        <w:tabs>
          <w:tab w:val="left" w:pos="151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ffffff" w:val="clear"/>
        <w:tabs>
          <w:tab w:val="left" w:pos="139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закона от 27 июля 2006 г. № 152-ФЗ «О персональных данных», Указа Президента Российской Федерации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 а также с учетом установленного в пункте 21 Положения о комиссиях запрета на разглашение сведений, ставших известными членам комиссии в ходе ее работы.</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 Особенности рассмотрения аттестационными комиссиями вопросов, связанных с соблюдением требований к служебному поведению государственных служащих и урегулированию конфликта интересов</w:t>
      </w: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Указом № 821 (пункт 2)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пункте 16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ffffff" w:val="clear"/>
        <w:tabs>
          <w:tab w:val="left" w:pos="160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Организации рассмотрения соответствующих вопросов аттестационными комиссиями посвящены пункты 39-42 Положения о комиссиях.</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ffffff" w:val="clear"/>
        <w:tabs>
          <w:tab w:val="left" w:pos="2587"/>
          <w:tab w:val="left" w:pos="5304"/>
          <w:tab w:val="left" w:pos="759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согласно пункту 42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Положением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аттестационной комиссии, включенные в нее для рассмотрения вопросов, определенных Положением о комиссиях, не приглашаются для рассмотрения других вопросов, отнесенных к компетенции аттестационных комиссий соответствующих органов.</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ffffff" w:val="clear"/>
        <w:tabs>
          <w:tab w:val="left" w:pos="138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пункту 35 Положения о комиссиях представляется</w:t>
        <w:tab/>
        <w:t xml:space="preserve">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пунктом 36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части 1 статьи 2.5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частью 2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sectPr>
      <w:pgSz w:h="16834" w:w="11909"/>
      <w:pgMar w:bottom="851" w:top="1134" w:left="1134" w:right="8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6.4.%1."/>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decimal"/>
      <w:lvlText w:val="2.%1."/>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